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1247FA45" w:rsidR="009C0052" w:rsidRPr="003157CE" w:rsidRDefault="00A62FCF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507CDD">
        <w:rPr>
          <w:rFonts w:asciiTheme="majorHAnsi" w:hAnsiTheme="majorHAnsi" w:cs="Arial"/>
          <w:szCs w:val="24"/>
        </w:rPr>
        <w:t>BULLETIN 2020</w:t>
      </w:r>
      <w:r w:rsidR="00D306D5">
        <w:rPr>
          <w:rFonts w:asciiTheme="majorHAnsi" w:hAnsiTheme="majorHAnsi" w:cs="Arial"/>
          <w:szCs w:val="24"/>
        </w:rPr>
        <w:t>-12</w:t>
      </w:r>
      <w:r w:rsidR="009C0052" w:rsidRPr="003157CE">
        <w:rPr>
          <w:rFonts w:asciiTheme="majorHAnsi" w:hAnsiTheme="majorHAnsi" w:cs="Arial"/>
          <w:szCs w:val="24"/>
        </w:rPr>
        <w:t xml:space="preserve"> 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="00552E5F">
        <w:rPr>
          <w:rFonts w:asciiTheme="majorHAnsi" w:hAnsiTheme="majorHAnsi" w:cs="Arial"/>
          <w:szCs w:val="24"/>
        </w:rPr>
        <w:t xml:space="preserve">  </w:t>
      </w:r>
      <w:r w:rsidR="00DE1D85">
        <w:rPr>
          <w:rFonts w:asciiTheme="majorHAnsi" w:hAnsiTheme="majorHAnsi" w:cs="Arial"/>
          <w:szCs w:val="24"/>
        </w:rPr>
        <w:t>October 31</w:t>
      </w:r>
      <w:r w:rsidR="00F2123D">
        <w:rPr>
          <w:rFonts w:asciiTheme="majorHAnsi" w:hAnsiTheme="majorHAnsi" w:cs="Arial"/>
          <w:szCs w:val="24"/>
        </w:rPr>
        <w:t>, 201</w:t>
      </w:r>
      <w:r w:rsidR="00D306D5">
        <w:rPr>
          <w:rFonts w:asciiTheme="majorHAnsi" w:hAnsiTheme="majorHAnsi" w:cs="Arial"/>
          <w:szCs w:val="24"/>
        </w:rPr>
        <w:t>9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9C0052" w:rsidRPr="00AB5682" w14:paraId="2BD7E790" w14:textId="77777777" w:rsidTr="00A1751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3157CE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14:paraId="08CC3149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E7A614A" w14:textId="6C417308" w:rsidR="009C0052" w:rsidRPr="003157CE" w:rsidRDefault="00246102" w:rsidP="00552E5F">
            <w:pPr>
              <w:pStyle w:val="NoSpacing"/>
              <w:rPr>
                <w:rFonts w:asciiTheme="majorHAnsi" w:hAnsiTheme="majorHAnsi" w:cs="Arial"/>
                <w:szCs w:val="24"/>
              </w:rPr>
            </w:pPr>
            <w:r>
              <w:t xml:space="preserve">A-547 </w:t>
            </w:r>
            <w:r w:rsidR="009C0052" w:rsidRPr="003157CE">
              <w:t>SD+RD+SAA+;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7F328A1" w14:textId="25E6D938" w:rsidR="009C0052" w:rsidRPr="00D306D5" w:rsidRDefault="009C0052" w:rsidP="00744F0A">
            <w:pPr>
              <w:widowControl/>
              <w:shd w:val="clear" w:color="auto" w:fill="FFFFFF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ED14D4">
              <w:rPr>
                <w:rFonts w:asciiTheme="majorHAnsi" w:hAnsiTheme="majorHAnsi" w:cs="Arial"/>
                <w:szCs w:val="24"/>
              </w:rPr>
              <w:t xml:space="preserve"> </w:t>
            </w:r>
            <w:r w:rsidR="00A17511" w:rsidRPr="00D306D5">
              <w:rPr>
                <w:rFonts w:asciiTheme="majorHAnsi" w:hAnsiTheme="majorHAnsi" w:cs="Arial"/>
                <w:szCs w:val="24"/>
              </w:rPr>
              <w:t>Revision to an Existing Apprenticeable Occupation, utilizing the</w:t>
            </w:r>
            <w:r w:rsidR="00906F9C" w:rsidRPr="00D306D5">
              <w:rPr>
                <w:rFonts w:asciiTheme="majorHAnsi" w:hAnsiTheme="majorHAnsi" w:cs="Arial"/>
                <w:szCs w:val="24"/>
              </w:rPr>
              <w:t xml:space="preserve"> Competency-</w:t>
            </w:r>
            <w:r w:rsidR="00A17511" w:rsidRPr="00D306D5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 w:rsidRPr="00D306D5">
              <w:rPr>
                <w:rFonts w:asciiTheme="majorHAnsi" w:hAnsiTheme="majorHAnsi" w:cs="Arial"/>
                <w:szCs w:val="24"/>
              </w:rPr>
              <w:t xml:space="preserve">Occupational Framework for </w:t>
            </w:r>
          </w:p>
          <w:p w14:paraId="589940FF" w14:textId="5D275043" w:rsidR="00DB41A6" w:rsidRPr="00D306D5" w:rsidRDefault="00077FEB" w:rsidP="00246102">
            <w:pPr>
              <w:pStyle w:val="NoSpacing"/>
              <w:rPr>
                <w:rFonts w:asciiTheme="majorHAnsi" w:hAnsiTheme="majorHAnsi"/>
              </w:rPr>
            </w:pPr>
            <w:r w:rsidRPr="00D306D5">
              <w:rPr>
                <w:rFonts w:asciiTheme="majorHAnsi" w:hAnsiTheme="majorHAnsi"/>
              </w:rPr>
              <w:t>Avionics Technician</w:t>
            </w:r>
          </w:p>
          <w:p w14:paraId="0775D6E4" w14:textId="77777777" w:rsidR="00497093" w:rsidRDefault="00497093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267832CC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552E5F">
              <w:rPr>
                <w:rFonts w:asciiTheme="majorHAnsi" w:hAnsiTheme="majorHAnsi" w:cs="Arial"/>
                <w:szCs w:val="24"/>
              </w:rPr>
              <w:t xml:space="preserve">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DE1D85">
        <w:trPr>
          <w:cantSplit/>
          <w:trHeight w:val="406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7D3A95A5" w:rsidR="009C0052" w:rsidRPr="003157CE" w:rsidRDefault="009C0052" w:rsidP="00A72E9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A72E98">
              <w:rPr>
                <w:rFonts w:asciiTheme="majorHAnsi" w:hAnsiTheme="majorHAnsi" w:cs="Arial"/>
                <w:szCs w:val="24"/>
              </w:rPr>
              <w:t>DRAP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DD63AE" w:rsidRPr="003157CE">
              <w:rPr>
                <w:rFonts w:asciiTheme="majorHAnsi" w:hAnsiTheme="majorHAnsi" w:cs="Arial"/>
                <w:szCs w:val="24"/>
              </w:rPr>
              <w:t>LNS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4B8BE69B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Action: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Immediate</w:t>
            </w:r>
          </w:p>
        </w:tc>
      </w:tr>
      <w:tr w:rsidR="009C0052" w:rsidRPr="00AB5682" w14:paraId="032C42F3" w14:textId="77777777" w:rsidTr="00A17511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487D2B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329386" w14:textId="712B0ABA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>the new Competency-</w:t>
            </w:r>
            <w:r w:rsidR="00A17511">
              <w:rPr>
                <w:rFonts w:asciiTheme="majorHAnsi" w:hAnsiTheme="majorHAnsi" w:cs="Arial"/>
                <w:szCs w:val="24"/>
              </w:rPr>
              <w:t>b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ased 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077FEB">
              <w:rPr>
                <w:rFonts w:asciiTheme="majorHAnsi" w:hAnsiTheme="majorHAnsi" w:cs="Arial"/>
                <w:szCs w:val="24"/>
              </w:rPr>
              <w:t>Avionics Technician</w:t>
            </w:r>
            <w:r w:rsidR="004B5C91" w:rsidRPr="003157CE">
              <w:rPr>
                <w:rFonts w:asciiTheme="majorHAnsi" w:hAnsiTheme="majorHAnsi" w:cs="Arial"/>
                <w:szCs w:val="24"/>
              </w:rPr>
              <w:t>:</w:t>
            </w:r>
          </w:p>
          <w:p w14:paraId="7F522FAD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14:paraId="0EFC024D" w14:textId="6865CE8D" w:rsidR="009C0052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077FEB">
              <w:rPr>
                <w:rFonts w:asciiTheme="majorHAnsi" w:hAnsiTheme="majorHAnsi" w:cs="Arial"/>
                <w:szCs w:val="24"/>
              </w:rPr>
              <w:t>Avionics Technician</w:t>
            </w:r>
          </w:p>
          <w:p w14:paraId="74F10096" w14:textId="1086D2B0" w:rsidR="009C0052" w:rsidRPr="003157CE" w:rsidRDefault="00DC597B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        </w:t>
            </w:r>
            <w:r>
              <w:rPr>
                <w:rFonts w:asciiTheme="majorHAnsi" w:hAnsiTheme="majorHAnsi" w:cs="Arial"/>
                <w:szCs w:val="24"/>
              </w:rPr>
              <w:t xml:space="preserve">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O*NET-SOC Code: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077FEB">
              <w:rPr>
                <w:rFonts w:asciiTheme="majorHAnsi" w:hAnsiTheme="majorHAnsi" w:cs="Arial"/>
                <w:szCs w:val="24"/>
              </w:rPr>
              <w:t>49</w:t>
            </w:r>
            <w:r w:rsidR="00A72E98">
              <w:rPr>
                <w:rFonts w:asciiTheme="majorHAnsi" w:hAnsiTheme="majorHAnsi" w:cs="Arial"/>
                <w:szCs w:val="24"/>
              </w:rPr>
              <w:t>-</w:t>
            </w:r>
            <w:r w:rsidR="00077FEB">
              <w:rPr>
                <w:rFonts w:asciiTheme="majorHAnsi" w:hAnsiTheme="majorHAnsi" w:cs="Arial"/>
                <w:szCs w:val="24"/>
              </w:rPr>
              <w:t>2091</w:t>
            </w:r>
            <w:r w:rsidR="00A72E98">
              <w:rPr>
                <w:rFonts w:asciiTheme="majorHAnsi" w:hAnsiTheme="majorHAnsi" w:cs="Arial"/>
                <w:szCs w:val="24"/>
              </w:rPr>
              <w:t>.</w:t>
            </w:r>
            <w:r w:rsidR="00077FEB">
              <w:rPr>
                <w:rFonts w:asciiTheme="majorHAnsi" w:hAnsiTheme="majorHAnsi" w:cs="Arial"/>
                <w:szCs w:val="24"/>
              </w:rPr>
              <w:t>00</w:t>
            </w:r>
          </w:p>
          <w:p w14:paraId="5CB078AC" w14:textId="1A8F8FA8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A17511">
              <w:rPr>
                <w:rFonts w:asciiTheme="majorHAnsi" w:hAnsiTheme="majorHAnsi"/>
                <w:szCs w:val="24"/>
              </w:rPr>
              <w:t xml:space="preserve"> </w:t>
            </w:r>
            <w:r w:rsidR="00077FEB">
              <w:rPr>
                <w:rFonts w:asciiTheme="majorHAnsi" w:hAnsiTheme="majorHAnsi"/>
                <w:szCs w:val="24"/>
              </w:rPr>
              <w:t>0464</w:t>
            </w:r>
            <w:r w:rsidR="00A62FCF" w:rsidRPr="00130C20">
              <w:rPr>
                <w:rFonts w:asciiTheme="majorHAnsi" w:hAnsiTheme="majorHAnsi"/>
                <w:szCs w:val="24"/>
              </w:rPr>
              <w:t>CB</w:t>
            </w:r>
          </w:p>
          <w:p w14:paraId="791233D3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14:paraId="4A5B219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4723B028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7E2B5A" w:rsidRPr="003157CE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A72E98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A72E98">
              <w:rPr>
                <w:rFonts w:asciiTheme="majorHAnsi" w:hAnsiTheme="majorHAnsi" w:cs="Arial"/>
                <w:szCs w:val="24"/>
              </w:rPr>
              <w:t>training approach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A72E98">
              <w:rPr>
                <w:rFonts w:asciiTheme="majorHAnsi" w:hAnsiTheme="majorHAnsi" w:cs="Arial"/>
                <w:szCs w:val="24"/>
              </w:rPr>
              <w:t xml:space="preserve">(WPS) 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is ordinarily outlined in the Work Process Schedule, sponsors who utilize a CBOF need to develop the </w:t>
            </w:r>
            <w:r w:rsidR="00A72E98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A72E98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A72E98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DE1D85">
              <w:t xml:space="preserve">  </w:t>
            </w:r>
            <w:r w:rsidR="00DE1D85" w:rsidRPr="00DE1D85">
              <w:rPr>
                <w:rFonts w:asciiTheme="majorHAnsi" w:hAnsiTheme="majorHAnsi"/>
                <w:szCs w:val="24"/>
              </w:rPr>
              <w:t>The OA Administrator approved this occupation on October 19, 2019.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1C8A721" w14:textId="19C766FE" w:rsidR="00077FEB" w:rsidRDefault="00742247" w:rsidP="00077FEB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Included a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mong the </w:t>
            </w:r>
            <w:r w:rsidR="00BA335C">
              <w:rPr>
                <w:rFonts w:asciiTheme="majorHAnsi" w:hAnsiTheme="majorHAnsi" w:cs="Arial"/>
                <w:szCs w:val="24"/>
              </w:rPr>
              <w:t>newly-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approved </w:t>
            </w:r>
            <w:r w:rsidR="009E3B80" w:rsidRPr="003157CE">
              <w:rPr>
                <w:rFonts w:asciiTheme="majorHAnsi" w:hAnsiTheme="majorHAnsi" w:cs="Arial"/>
                <w:szCs w:val="24"/>
              </w:rPr>
              <w:t>CB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OFs,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077FEB">
              <w:rPr>
                <w:rFonts w:asciiTheme="majorHAnsi" w:hAnsiTheme="majorHAnsi" w:cs="Arial"/>
                <w:szCs w:val="24"/>
              </w:rPr>
              <w:t>Avionics Technician</w:t>
            </w:r>
            <w:r w:rsidR="00DC597B">
              <w:rPr>
                <w:rFonts w:asciiTheme="majorHAnsi" w:hAnsiTheme="majorHAnsi" w:cs="Arial"/>
                <w:szCs w:val="24"/>
              </w:rPr>
              <w:t xml:space="preserve">. </w:t>
            </w:r>
            <w:r w:rsidR="001E5CBE">
              <w:rPr>
                <w:rFonts w:asciiTheme="majorHAnsi" w:hAnsiTheme="majorHAnsi" w:cs="Arial"/>
                <w:szCs w:val="24"/>
              </w:rPr>
              <w:t xml:space="preserve"> </w:t>
            </w:r>
            <w:r w:rsidR="00906F9C">
              <w:rPr>
                <w:rFonts w:asciiTheme="majorHAnsi" w:hAnsiTheme="majorHAnsi" w:cs="Arial"/>
                <w:szCs w:val="24"/>
              </w:rPr>
              <w:t xml:space="preserve">Entry-level </w:t>
            </w:r>
            <w:r w:rsidR="00077FEB">
              <w:rPr>
                <w:rFonts w:asciiTheme="majorHAnsi" w:hAnsiTheme="majorHAnsi" w:cs="Arial"/>
                <w:szCs w:val="24"/>
              </w:rPr>
              <w:t>technicians:</w:t>
            </w:r>
          </w:p>
          <w:p w14:paraId="6C9E1E20" w14:textId="7ACA070F" w:rsidR="00077FEB" w:rsidRPr="00077FEB" w:rsidRDefault="002A1EB7" w:rsidP="00A17511">
            <w:pPr>
              <w:pStyle w:val="ListParagraph"/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077FEB">
              <w:rPr>
                <w:rFonts w:asciiTheme="majorHAnsi" w:hAnsiTheme="majorHAnsi" w:cs="Arial"/>
                <w:szCs w:val="24"/>
              </w:rPr>
              <w:t>Install</w:t>
            </w:r>
            <w:r w:rsidR="00077FEB" w:rsidRPr="00077FEB">
              <w:rPr>
                <w:rFonts w:asciiTheme="majorHAnsi" w:hAnsiTheme="majorHAnsi" w:cs="Arial"/>
                <w:szCs w:val="24"/>
              </w:rPr>
              <w:t>, inspect, test, adjust, or repair aerospace electronics equipment, traditionally including</w:t>
            </w:r>
            <w:r w:rsidR="00A17511">
              <w:rPr>
                <w:rFonts w:asciiTheme="majorHAnsi" w:hAnsiTheme="majorHAnsi" w:cs="Arial"/>
                <w:szCs w:val="24"/>
              </w:rPr>
              <w:t>-</w:t>
            </w:r>
            <w:r w:rsidR="00077FEB" w:rsidRPr="00077FEB">
              <w:rPr>
                <w:rFonts w:asciiTheme="majorHAnsi" w:hAnsiTheme="majorHAnsi" w:cs="Arial"/>
                <w:szCs w:val="24"/>
              </w:rPr>
              <w:t>but not limited to</w:t>
            </w:r>
            <w:r w:rsidR="00A17511">
              <w:rPr>
                <w:rFonts w:asciiTheme="majorHAnsi" w:hAnsiTheme="majorHAnsi" w:cs="Arial"/>
                <w:szCs w:val="24"/>
              </w:rPr>
              <w:t>-</w:t>
            </w:r>
            <w:r w:rsidR="00077FEB" w:rsidRPr="00077FEB">
              <w:rPr>
                <w:rFonts w:asciiTheme="majorHAnsi" w:hAnsiTheme="majorHAnsi" w:cs="Arial"/>
                <w:szCs w:val="24"/>
              </w:rPr>
              <w:t>communication, navigation, surveil</w:t>
            </w:r>
            <w:r w:rsidR="00077FEB">
              <w:rPr>
                <w:rFonts w:asciiTheme="majorHAnsi" w:hAnsiTheme="majorHAnsi" w:cs="Arial"/>
                <w:szCs w:val="24"/>
              </w:rPr>
              <w:t xml:space="preserve">lance, and connectivity systems as well as </w:t>
            </w:r>
            <w:r w:rsidR="00077FEB" w:rsidRPr="00077FEB">
              <w:rPr>
                <w:rFonts w:asciiTheme="majorHAnsi" w:hAnsiTheme="majorHAnsi" w:cs="Arial"/>
                <w:szCs w:val="24"/>
              </w:rPr>
              <w:t xml:space="preserve">control and information systems in aircraft or space vehicles. </w:t>
            </w:r>
          </w:p>
          <w:p w14:paraId="2CA3F67F" w14:textId="77777777" w:rsidR="008F3402" w:rsidRDefault="008F3402" w:rsidP="008F340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846C904" w14:textId="62C3A2D5" w:rsidR="00744F0A" w:rsidRPr="008F3402" w:rsidRDefault="00DC597B" w:rsidP="008F340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8F3402">
              <w:rPr>
                <w:rFonts w:asciiTheme="majorHAnsi" w:hAnsiTheme="majorHAnsi" w:cs="Arial"/>
                <w:szCs w:val="24"/>
              </w:rPr>
              <w:t xml:space="preserve">Apprentices will learn to </w:t>
            </w:r>
            <w:r w:rsidR="00077FEB">
              <w:rPr>
                <w:rFonts w:asciiTheme="majorHAnsi" w:hAnsiTheme="majorHAnsi" w:cs="Arial"/>
                <w:szCs w:val="24"/>
              </w:rPr>
              <w:t>maintain</w:t>
            </w:r>
            <w:r w:rsidR="00077FEB" w:rsidRPr="00077FEB">
              <w:rPr>
                <w:rFonts w:asciiTheme="majorHAnsi" w:hAnsiTheme="majorHAnsi" w:cs="Arial"/>
                <w:szCs w:val="24"/>
              </w:rPr>
              <w:t xml:space="preserve"> safety, health, and professionalism at work</w:t>
            </w:r>
            <w:r w:rsidR="00077FEB">
              <w:rPr>
                <w:rFonts w:asciiTheme="majorHAnsi" w:hAnsiTheme="majorHAnsi" w:cs="Arial"/>
                <w:szCs w:val="24"/>
              </w:rPr>
              <w:t>;</w:t>
            </w:r>
            <w:r w:rsidR="00077FEB" w:rsidRPr="00077FEB">
              <w:rPr>
                <w:b/>
              </w:rPr>
              <w:t xml:space="preserve"> </w:t>
            </w:r>
            <w:r w:rsidR="00077FEB" w:rsidRPr="00077FEB">
              <w:rPr>
                <w:rFonts w:asciiTheme="majorHAnsi" w:hAnsiTheme="majorHAnsi" w:cs="Arial"/>
                <w:szCs w:val="24"/>
              </w:rPr>
              <w:t>follow company and regulatory guidelines</w:t>
            </w:r>
            <w:r w:rsidR="00077FEB">
              <w:rPr>
                <w:rFonts w:asciiTheme="majorHAnsi" w:hAnsiTheme="majorHAnsi" w:cs="Arial"/>
                <w:szCs w:val="24"/>
              </w:rPr>
              <w:t>; locate</w:t>
            </w:r>
            <w:r w:rsidR="00077FEB" w:rsidRPr="00077FEB">
              <w:rPr>
                <w:rFonts w:asciiTheme="majorHAnsi" w:hAnsiTheme="majorHAnsi" w:cs="Arial"/>
                <w:szCs w:val="24"/>
              </w:rPr>
              <w:t xml:space="preserve"> and uses technical data</w:t>
            </w:r>
            <w:r w:rsidR="00077FEB">
              <w:rPr>
                <w:rFonts w:asciiTheme="majorHAnsi" w:hAnsiTheme="majorHAnsi" w:cs="Arial"/>
                <w:szCs w:val="24"/>
              </w:rPr>
              <w:t xml:space="preserve">; </w:t>
            </w:r>
            <w:r w:rsidR="00077FEB" w:rsidRPr="00077FEB">
              <w:rPr>
                <w:rFonts w:asciiTheme="majorHAnsi" w:hAnsiTheme="majorHAnsi" w:cs="Arial"/>
                <w:szCs w:val="24"/>
              </w:rPr>
              <w:t>ground operation and servicing to include protection of employer and customer assets</w:t>
            </w:r>
            <w:r w:rsidR="00AD755D">
              <w:rPr>
                <w:rFonts w:asciiTheme="majorHAnsi" w:hAnsiTheme="majorHAnsi" w:cs="Arial"/>
                <w:szCs w:val="24"/>
              </w:rPr>
              <w:t>; use</w:t>
            </w:r>
            <w:r w:rsidR="00AD755D" w:rsidRPr="00AD755D">
              <w:rPr>
                <w:rFonts w:asciiTheme="majorHAnsi" w:hAnsiTheme="majorHAnsi" w:cs="Arial"/>
                <w:szCs w:val="24"/>
              </w:rPr>
              <w:t xml:space="preserve"> tools and test equipment</w:t>
            </w:r>
            <w:r w:rsidR="00AD755D">
              <w:rPr>
                <w:rFonts w:asciiTheme="majorHAnsi" w:hAnsiTheme="majorHAnsi" w:cs="Arial"/>
                <w:szCs w:val="24"/>
              </w:rPr>
              <w:t>; perform</w:t>
            </w:r>
            <w:r w:rsidR="00AD755D" w:rsidRPr="00AD755D">
              <w:rPr>
                <w:rFonts w:asciiTheme="majorHAnsi" w:hAnsiTheme="majorHAnsi" w:cs="Arial"/>
                <w:szCs w:val="24"/>
              </w:rPr>
              <w:t xml:space="preserve"> electrical system calculations and analysis</w:t>
            </w:r>
            <w:r w:rsidR="00AD755D">
              <w:rPr>
                <w:rFonts w:asciiTheme="majorHAnsi" w:hAnsiTheme="majorHAnsi" w:cs="Arial"/>
                <w:szCs w:val="24"/>
              </w:rPr>
              <w:t>; install and maintain</w:t>
            </w:r>
            <w:r w:rsidR="00AD755D" w:rsidRPr="00AD755D">
              <w:rPr>
                <w:rFonts w:asciiTheme="majorHAnsi" w:hAnsiTheme="majorHAnsi" w:cs="Arial"/>
                <w:szCs w:val="24"/>
              </w:rPr>
              <w:t xml:space="preserve"> electrical wiring harnesses, electronic components, and instruments</w:t>
            </w:r>
            <w:r w:rsidR="00AD755D">
              <w:rPr>
                <w:rFonts w:asciiTheme="majorHAnsi" w:hAnsiTheme="majorHAnsi" w:cs="Arial"/>
                <w:szCs w:val="24"/>
              </w:rPr>
              <w:t>; and fabricate, modify, and repair</w:t>
            </w:r>
            <w:r w:rsidR="00AD755D" w:rsidRPr="00AD755D">
              <w:rPr>
                <w:rFonts w:asciiTheme="majorHAnsi" w:hAnsiTheme="majorHAnsi" w:cs="Arial"/>
                <w:szCs w:val="24"/>
              </w:rPr>
              <w:t xml:space="preserve"> aircraft structures</w:t>
            </w:r>
            <w:r w:rsidR="00AD755D">
              <w:rPr>
                <w:rFonts w:asciiTheme="majorHAnsi" w:hAnsiTheme="majorHAnsi" w:cs="Arial"/>
                <w:szCs w:val="24"/>
              </w:rPr>
              <w:t xml:space="preserve">. </w:t>
            </w:r>
          </w:p>
          <w:p w14:paraId="35051AAB" w14:textId="51881D10" w:rsidR="00A72E98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bookmarkStart w:id="0" w:name="_GoBack"/>
            <w:bookmarkEnd w:id="0"/>
            <w:r w:rsidRPr="003157CE">
              <w:rPr>
                <w:rFonts w:asciiTheme="majorHAnsi" w:hAnsiTheme="majorHAnsi" w:cs="Arial"/>
                <w:szCs w:val="24"/>
              </w:rPr>
              <w:lastRenderedPageBreak/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are permitted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4416E9">
              <w:rPr>
                <w:rFonts w:asciiTheme="majorHAnsi" w:hAnsiTheme="majorHAnsi" w:cs="Arial"/>
                <w:szCs w:val="24"/>
              </w:rPr>
              <w:t>Avionics Technician</w:t>
            </w:r>
            <w:r w:rsidR="00B11A7A" w:rsidRPr="003157CE">
              <w:rPr>
                <w:rFonts w:asciiTheme="majorHAnsi" w:hAnsiTheme="majorHAnsi" w:cs="Arial"/>
                <w:szCs w:val="24"/>
              </w:rPr>
              <w:t>.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78DC5378" w14:textId="77777777" w:rsidR="00A72E98" w:rsidRDefault="00A72E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1FDCE8D1" w:rsidR="00D94276" w:rsidRPr="003157CE" w:rsidRDefault="00C438D5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562070EC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A72E98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14:paraId="001A00FC" w14:textId="7AE2C546" w:rsidR="009C0052" w:rsidRPr="003157CE" w:rsidRDefault="009C0052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0A475E7" w14:textId="75435CAD" w:rsidR="009C0052" w:rsidRPr="003157CE" w:rsidRDefault="003157C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34D22BE4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1" w:name="_MON_1631433415"/>
          <w:bookmarkEnd w:id="1"/>
          <w:p w14:paraId="7D700647" w14:textId="2298885C" w:rsidR="0066706D" w:rsidRPr="003157CE" w:rsidRDefault="001E5CB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376" w:dyaOrig="893" w14:anchorId="6649DE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44.25pt" o:ole="">
                  <v:imagedata r:id="rId5" o:title=""/>
                </v:shape>
                <o:OLEObject Type="Embed" ProgID="Word.Document.12" ShapeID="_x0000_i1025" DrawAspect="Icon" ObjectID="_1634027130" r:id="rId6">
                  <o:FieldCodes>\s</o:FieldCodes>
                </o:OLEObject>
              </w:object>
            </w:r>
          </w:p>
          <w:p w14:paraId="4DADCB07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F52A17D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009F900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9A23E81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044BBF8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7EC028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297199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6C2C992" w14:textId="3D995FC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9BBBCCF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24711B6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F9EAAE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ACFE4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A31D2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C47ECF7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E5A994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8D166C" w:rsidRPr="003157CE" w:rsidRDefault="00DE1D85" w:rsidP="007E2B5A">
      <w:pPr>
        <w:rPr>
          <w:rFonts w:asciiTheme="majorHAnsi" w:hAnsiTheme="majorHAnsi"/>
          <w:szCs w:val="24"/>
        </w:rPr>
      </w:pPr>
    </w:p>
    <w:sectPr w:rsidR="008D166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22C75"/>
    <w:rsid w:val="00077FEB"/>
    <w:rsid w:val="0010669D"/>
    <w:rsid w:val="001118B4"/>
    <w:rsid w:val="00123364"/>
    <w:rsid w:val="00130C20"/>
    <w:rsid w:val="001345C3"/>
    <w:rsid w:val="001879B4"/>
    <w:rsid w:val="001B1B63"/>
    <w:rsid w:val="001E5CBE"/>
    <w:rsid w:val="00246102"/>
    <w:rsid w:val="002A1EB7"/>
    <w:rsid w:val="002D18E7"/>
    <w:rsid w:val="002E30D9"/>
    <w:rsid w:val="002F300C"/>
    <w:rsid w:val="003157CE"/>
    <w:rsid w:val="003277C5"/>
    <w:rsid w:val="003F1C4D"/>
    <w:rsid w:val="0040141E"/>
    <w:rsid w:val="00426F3C"/>
    <w:rsid w:val="004416E9"/>
    <w:rsid w:val="00497093"/>
    <w:rsid w:val="004A37DB"/>
    <w:rsid w:val="004A66F7"/>
    <w:rsid w:val="004B5C91"/>
    <w:rsid w:val="004E4E41"/>
    <w:rsid w:val="00507CDD"/>
    <w:rsid w:val="0053381D"/>
    <w:rsid w:val="00552E5F"/>
    <w:rsid w:val="005E2C48"/>
    <w:rsid w:val="005F4B70"/>
    <w:rsid w:val="00626401"/>
    <w:rsid w:val="0066706D"/>
    <w:rsid w:val="006C3396"/>
    <w:rsid w:val="00735CC3"/>
    <w:rsid w:val="0074092F"/>
    <w:rsid w:val="00742247"/>
    <w:rsid w:val="00744F0A"/>
    <w:rsid w:val="007A4030"/>
    <w:rsid w:val="007B5B91"/>
    <w:rsid w:val="007B7F1B"/>
    <w:rsid w:val="007E2B5A"/>
    <w:rsid w:val="008269F2"/>
    <w:rsid w:val="00873C81"/>
    <w:rsid w:val="008C087F"/>
    <w:rsid w:val="008E3713"/>
    <w:rsid w:val="008F3402"/>
    <w:rsid w:val="00906F9C"/>
    <w:rsid w:val="009376E4"/>
    <w:rsid w:val="009B3DCC"/>
    <w:rsid w:val="009C0052"/>
    <w:rsid w:val="009D54CF"/>
    <w:rsid w:val="009E3B80"/>
    <w:rsid w:val="00A17511"/>
    <w:rsid w:val="00A25C0A"/>
    <w:rsid w:val="00A62FCF"/>
    <w:rsid w:val="00A64E7F"/>
    <w:rsid w:val="00A72E98"/>
    <w:rsid w:val="00AB5682"/>
    <w:rsid w:val="00AD755D"/>
    <w:rsid w:val="00B11A7A"/>
    <w:rsid w:val="00BA335C"/>
    <w:rsid w:val="00BD1A92"/>
    <w:rsid w:val="00BE78DC"/>
    <w:rsid w:val="00C24328"/>
    <w:rsid w:val="00C438D5"/>
    <w:rsid w:val="00CA69B8"/>
    <w:rsid w:val="00D306D5"/>
    <w:rsid w:val="00D60F98"/>
    <w:rsid w:val="00D82EF0"/>
    <w:rsid w:val="00D94276"/>
    <w:rsid w:val="00DA49A7"/>
    <w:rsid w:val="00DB41A6"/>
    <w:rsid w:val="00DC597B"/>
    <w:rsid w:val="00DD63AE"/>
    <w:rsid w:val="00DE1D85"/>
    <w:rsid w:val="00EA0AAC"/>
    <w:rsid w:val="00ED14D4"/>
    <w:rsid w:val="00F2123D"/>
    <w:rsid w:val="00F43AD6"/>
    <w:rsid w:val="00F800A0"/>
    <w:rsid w:val="00FD731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C31559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Jefferson, Kirk - ETA</cp:lastModifiedBy>
  <cp:revision>7</cp:revision>
  <cp:lastPrinted>2019-09-13T14:38:00Z</cp:lastPrinted>
  <dcterms:created xsi:type="dcterms:W3CDTF">2019-10-22T21:20:00Z</dcterms:created>
  <dcterms:modified xsi:type="dcterms:W3CDTF">2019-10-31T15:39:00Z</dcterms:modified>
</cp:coreProperties>
</file>